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8A27D" w14:textId="77777777" w:rsidR="00600965" w:rsidRDefault="00600965" w:rsidP="00600965">
      <w:pPr>
        <w:pStyle w:val="Default"/>
        <w:spacing w:before="440" w:after="160" w:line="241" w:lineRule="atLeast"/>
        <w:ind w:right="160"/>
        <w:jc w:val="both"/>
        <w:rPr>
          <w:rFonts w:cstheme="minorBidi"/>
          <w:color w:val="7DCEC8"/>
          <w:sz w:val="23"/>
          <w:szCs w:val="23"/>
        </w:rPr>
      </w:pPr>
      <w:r>
        <w:rPr>
          <w:rFonts w:cstheme="minorBidi"/>
          <w:b/>
          <w:bCs/>
          <w:color w:val="7DCEC8"/>
          <w:sz w:val="23"/>
          <w:szCs w:val="23"/>
        </w:rPr>
        <w:t>FURTHER READING</w:t>
      </w:r>
    </w:p>
    <w:p w14:paraId="36AE68BB" w14:textId="77777777" w:rsidR="00600965" w:rsidRPr="0030167D" w:rsidRDefault="00600965" w:rsidP="00600965">
      <w:pPr>
        <w:pStyle w:val="Pa2410"/>
        <w:spacing w:after="100"/>
        <w:ind w:right="160"/>
        <w:jc w:val="both"/>
        <w:rPr>
          <w:rFonts w:cs="DIN"/>
          <w:color w:val="211D1E"/>
          <w:sz w:val="22"/>
          <w:szCs w:val="22"/>
        </w:rPr>
      </w:pPr>
      <w:r w:rsidRPr="0030167D">
        <w:rPr>
          <w:rFonts w:cs="DIN"/>
          <w:color w:val="211D1E"/>
          <w:sz w:val="22"/>
          <w:szCs w:val="22"/>
        </w:rPr>
        <w:t xml:space="preserve">As an example of how attitude is formed in an online environment, you might enjoy C.H. Miller, J. Reardon, L. Salciuviene, V. Auruskeviciene, K. Lee and K. Miller (2009) Need for cognition as a moderator of affective and cognitive elements in online attitude toward the brand formation. </w:t>
      </w:r>
      <w:r w:rsidRPr="0030167D">
        <w:rPr>
          <w:rFonts w:ascii="DIN-RegularItalic" w:hAnsi="DIN-RegularItalic" w:cs="DIN-RegularItalic"/>
          <w:i/>
          <w:iCs/>
          <w:color w:val="211D1E"/>
          <w:sz w:val="22"/>
          <w:szCs w:val="22"/>
        </w:rPr>
        <w:t>Journal of Business and Economics Research</w:t>
      </w:r>
      <w:r w:rsidRPr="0030167D">
        <w:rPr>
          <w:rFonts w:cs="DIN"/>
          <w:color w:val="211D1E"/>
          <w:sz w:val="22"/>
          <w:szCs w:val="22"/>
        </w:rPr>
        <w:t xml:space="preserve">, </w:t>
      </w:r>
      <w:r w:rsidRPr="0030167D">
        <w:rPr>
          <w:rFonts w:ascii="DIN-RegularItalic" w:hAnsi="DIN-RegularItalic" w:cs="DIN-RegularItalic"/>
          <w:i/>
          <w:iCs/>
          <w:color w:val="211D1E"/>
          <w:sz w:val="22"/>
          <w:szCs w:val="22"/>
        </w:rPr>
        <w:t xml:space="preserve">7 </w:t>
      </w:r>
      <w:r w:rsidRPr="0030167D">
        <w:rPr>
          <w:rFonts w:cs="DIN"/>
          <w:color w:val="211D1E"/>
          <w:sz w:val="22"/>
          <w:szCs w:val="22"/>
        </w:rPr>
        <w:t>(12): 65–72.</w:t>
      </w:r>
    </w:p>
    <w:p w14:paraId="5BF4A72C" w14:textId="77777777" w:rsidR="00600965" w:rsidRPr="0030167D" w:rsidRDefault="00600965" w:rsidP="00600965">
      <w:pPr>
        <w:pStyle w:val="Pa2410"/>
        <w:spacing w:after="100"/>
        <w:ind w:right="160"/>
        <w:jc w:val="both"/>
        <w:rPr>
          <w:rFonts w:cs="DIN"/>
          <w:color w:val="211D1E"/>
          <w:sz w:val="22"/>
          <w:szCs w:val="22"/>
        </w:rPr>
      </w:pPr>
      <w:r w:rsidRPr="0030167D">
        <w:rPr>
          <w:rFonts w:cs="DIN"/>
          <w:color w:val="211D1E"/>
          <w:sz w:val="22"/>
          <w:szCs w:val="22"/>
        </w:rPr>
        <w:t xml:space="preserve">For an interesting study in how an unpopular or counter-social attitude can affect the way an individual fits into a culture, read M. Piacentini and E.N. Banister (2009) Managing anti-consumption in an excessive drinking culture. </w:t>
      </w:r>
      <w:r w:rsidRPr="0030167D">
        <w:rPr>
          <w:rFonts w:ascii="DIN-RegularItalic" w:hAnsi="DIN-RegularItalic" w:cs="DIN-RegularItalic"/>
          <w:i/>
          <w:iCs/>
          <w:color w:val="211D1E"/>
          <w:sz w:val="22"/>
          <w:szCs w:val="22"/>
        </w:rPr>
        <w:t>Journal of Business Research</w:t>
      </w:r>
      <w:r w:rsidRPr="0030167D">
        <w:rPr>
          <w:rFonts w:cs="DIN"/>
          <w:color w:val="211D1E"/>
          <w:sz w:val="22"/>
          <w:szCs w:val="22"/>
        </w:rPr>
        <w:t xml:space="preserve">, </w:t>
      </w:r>
      <w:r w:rsidRPr="0030167D">
        <w:rPr>
          <w:rFonts w:ascii="DIN-RegularItalic" w:hAnsi="DIN-RegularItalic" w:cs="DIN-RegularItalic"/>
          <w:i/>
          <w:iCs/>
          <w:color w:val="211D1E"/>
          <w:sz w:val="22"/>
          <w:szCs w:val="22"/>
        </w:rPr>
        <w:t>62</w:t>
      </w:r>
      <w:r w:rsidRPr="0030167D">
        <w:rPr>
          <w:rFonts w:cs="DIN"/>
          <w:color w:val="211D1E"/>
          <w:sz w:val="22"/>
          <w:szCs w:val="22"/>
        </w:rPr>
        <w:t>: 279–88. This paper is about the experiences of students who do not like to engage in heavy drinking.</w:t>
      </w:r>
    </w:p>
    <w:p w14:paraId="0B547594" w14:textId="53BE29A3" w:rsidR="000C3E0C" w:rsidRPr="0030167D" w:rsidRDefault="00600965" w:rsidP="00600965">
      <w:r w:rsidRPr="0030167D">
        <w:rPr>
          <w:rFonts w:cs="DIN"/>
          <w:color w:val="211D1E"/>
        </w:rPr>
        <w:t xml:space="preserve">For a good book on attitude and attitude change, try Greg Maio and Geoff Haddock’s </w:t>
      </w:r>
      <w:r w:rsidRPr="0030167D">
        <w:rPr>
          <w:rFonts w:ascii="DIN-RegularItalic" w:hAnsi="DIN-RegularItalic" w:cs="DIN-RegularItalic"/>
          <w:i/>
          <w:iCs/>
          <w:color w:val="211D1E"/>
        </w:rPr>
        <w:t xml:space="preserve">The Psychology of Attitudes and Attitude Change </w:t>
      </w:r>
      <w:r w:rsidRPr="0030167D">
        <w:rPr>
          <w:rFonts w:cs="DIN"/>
          <w:color w:val="211D1E"/>
        </w:rPr>
        <w:t>(London: Sage, 2009). In particular, this book explains clearly how attitudes can be used to predict behaviour.</w:t>
      </w:r>
    </w:p>
    <w:sectPr w:rsidR="000C3E0C" w:rsidRPr="003016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w:altName w:val="Calibri"/>
    <w:panose1 w:val="00000000000000000000"/>
    <w:charset w:val="00"/>
    <w:family w:val="swiss"/>
    <w:notTrueType/>
    <w:pitch w:val="default"/>
    <w:sig w:usb0="00000003" w:usb1="00000000" w:usb2="00000000" w:usb3="00000000" w:csb0="00000001" w:csb1="00000000"/>
  </w:font>
  <w:font w:name="DIN-Regular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965"/>
    <w:rsid w:val="000C3E0C"/>
    <w:rsid w:val="0030167D"/>
    <w:rsid w:val="00600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1ACD4"/>
  <w15:chartTrackingRefBased/>
  <w15:docId w15:val="{2606F15F-19B4-4806-AF64-48C3AC7DA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00965"/>
    <w:pPr>
      <w:autoSpaceDE w:val="0"/>
      <w:autoSpaceDN w:val="0"/>
      <w:adjustRightInd w:val="0"/>
      <w:spacing w:after="0" w:line="240" w:lineRule="auto"/>
    </w:pPr>
    <w:rPr>
      <w:rFonts w:ascii="DIN" w:hAnsi="DIN" w:cs="DIN"/>
      <w:color w:val="000000"/>
      <w:sz w:val="24"/>
      <w:szCs w:val="24"/>
    </w:rPr>
  </w:style>
  <w:style w:type="paragraph" w:customStyle="1" w:styleId="Pa2410">
    <w:name w:val="Pa24+10"/>
    <w:basedOn w:val="Default"/>
    <w:next w:val="Default"/>
    <w:uiPriority w:val="99"/>
    <w:rsid w:val="00600965"/>
    <w:pPr>
      <w:spacing w:line="18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1244E9798AF04986878BA89115A34C" ma:contentTypeVersion="10" ma:contentTypeDescription="Create a new document." ma:contentTypeScope="" ma:versionID="50196f95f1e41f39e56d74505da8317c">
  <xsd:schema xmlns:xsd="http://www.w3.org/2001/XMLSchema" xmlns:xs="http://www.w3.org/2001/XMLSchema" xmlns:p="http://schemas.microsoft.com/office/2006/metadata/properties" xmlns:ns3="7a5968a9-a32b-4788-9345-666c2c296e38" targetNamespace="http://schemas.microsoft.com/office/2006/metadata/properties" ma:root="true" ma:fieldsID="0c04b460bbff4ee1ce53f65631b24cfb" ns3:_="">
    <xsd:import namespace="7a5968a9-a32b-4788-9345-666c2c296e3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968a9-a32b-4788-9345-666c2c296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4F65AB-1DD7-4B39-B170-E9AE754352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5968a9-a32b-4788-9345-666c2c296e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F2534C-EBBC-4D44-91B3-E69CEE1C2CF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D1A0CF-E238-46D2-8AB4-9F19616541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826</Characters>
  <Application>Microsoft Office Word</Application>
  <DocSecurity>0</DocSecurity>
  <Lines>6</Lines>
  <Paragraphs>1</Paragraphs>
  <ScaleCrop>false</ScaleCrop>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Indrani Dutta</dc:creator>
  <cp:keywords/>
  <dc:description/>
  <cp:lastModifiedBy>Ankit Verma</cp:lastModifiedBy>
  <cp:revision>2</cp:revision>
  <dcterms:created xsi:type="dcterms:W3CDTF">2020-05-20T06:32:00Z</dcterms:created>
  <dcterms:modified xsi:type="dcterms:W3CDTF">2020-12-04T10:43:00Z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0x010100C81244E9798AF04986878BA89115A34C</vt:lpwstr>
  </property>
</Properties>
</file>