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A5282" w14:textId="77777777" w:rsidR="00B55309" w:rsidRDefault="00B55309" w:rsidP="00B55309">
      <w:pPr>
        <w:pStyle w:val="Pa611"/>
        <w:spacing w:before="440" w:after="220"/>
        <w:ind w:right="160"/>
        <w:jc w:val="both"/>
        <w:rPr>
          <w:color w:val="7DCEC8"/>
          <w:sz w:val="23"/>
          <w:szCs w:val="23"/>
        </w:rPr>
      </w:pPr>
      <w:r>
        <w:rPr>
          <w:b/>
          <w:bCs/>
          <w:color w:val="7DCEC8"/>
          <w:sz w:val="23"/>
          <w:szCs w:val="23"/>
        </w:rPr>
        <w:t>FURTHER READING</w:t>
      </w:r>
    </w:p>
    <w:p w14:paraId="51DC0D6B" w14:textId="77777777" w:rsidR="00B55309" w:rsidRPr="00385DFC" w:rsidRDefault="00B55309" w:rsidP="00B55309">
      <w:pPr>
        <w:pStyle w:val="Pa36"/>
        <w:spacing w:after="100"/>
        <w:ind w:right="160"/>
        <w:jc w:val="both"/>
        <w:rPr>
          <w:rFonts w:cs="DIN"/>
          <w:color w:val="211D1E"/>
          <w:sz w:val="22"/>
          <w:szCs w:val="22"/>
        </w:rPr>
      </w:pPr>
      <w:r w:rsidRPr="00385DFC">
        <w:rPr>
          <w:rFonts w:cs="DIN"/>
          <w:color w:val="211D1E"/>
          <w:sz w:val="22"/>
          <w:szCs w:val="22"/>
        </w:rPr>
        <w:t xml:space="preserve">For an indication of some of the surrogates people use when deciding on whether to buy a new product, see Roger Bennett and Helen Gabriel (2000) Charity affiliation as a determinant of product purchase decisions, </w:t>
      </w:r>
      <w:r w:rsidRPr="00385DFC">
        <w:rPr>
          <w:rFonts w:ascii="DIN-RegularItalic" w:hAnsi="DIN-RegularItalic" w:cs="DIN-RegularItalic"/>
          <w:i/>
          <w:iCs/>
          <w:color w:val="211D1E"/>
          <w:sz w:val="22"/>
          <w:szCs w:val="22"/>
        </w:rPr>
        <w:t>Journal of Brand and Product Marketing</w:t>
      </w:r>
      <w:r w:rsidRPr="00385DFC">
        <w:rPr>
          <w:rFonts w:cs="DIN"/>
          <w:color w:val="211D1E"/>
          <w:sz w:val="22"/>
          <w:szCs w:val="22"/>
        </w:rPr>
        <w:t xml:space="preserve">, </w:t>
      </w:r>
      <w:r w:rsidRPr="00385DFC">
        <w:rPr>
          <w:rFonts w:ascii="DIN-RegularItalic" w:hAnsi="DIN-RegularItalic" w:cs="DIN-RegularItalic"/>
          <w:i/>
          <w:iCs/>
          <w:color w:val="211D1E"/>
          <w:sz w:val="22"/>
          <w:szCs w:val="22"/>
        </w:rPr>
        <w:t xml:space="preserve">9 </w:t>
      </w:r>
      <w:r w:rsidRPr="00385DFC">
        <w:rPr>
          <w:rFonts w:cs="DIN"/>
          <w:color w:val="211D1E"/>
          <w:sz w:val="22"/>
          <w:szCs w:val="22"/>
        </w:rPr>
        <w:t>(4/5): 255–68. It turns out that people’s perception of the value-for-money aspects of products sold by charities affects their view of other products that may be entirely unrelated to the first products.</w:t>
      </w:r>
    </w:p>
    <w:p w14:paraId="01FBAF4F" w14:textId="77777777" w:rsidR="00B55309" w:rsidRPr="00385DFC" w:rsidRDefault="00B55309" w:rsidP="00B55309">
      <w:pPr>
        <w:pStyle w:val="Pa36"/>
        <w:spacing w:after="100"/>
        <w:ind w:right="160"/>
        <w:jc w:val="both"/>
        <w:rPr>
          <w:rFonts w:cs="DIN"/>
          <w:color w:val="211D1E"/>
          <w:sz w:val="22"/>
          <w:szCs w:val="22"/>
        </w:rPr>
      </w:pPr>
      <w:r w:rsidRPr="00385DFC">
        <w:rPr>
          <w:rFonts w:cs="DIN"/>
          <w:color w:val="211D1E"/>
          <w:sz w:val="22"/>
          <w:szCs w:val="22"/>
        </w:rPr>
        <w:t xml:space="preserve">For a much deeper account of loyalty programmes and involvement, take a look at Wan Jou-Wen’s book </w:t>
      </w:r>
      <w:r w:rsidRPr="00385DFC">
        <w:rPr>
          <w:rFonts w:ascii="DIN-RegularItalic" w:hAnsi="DIN-RegularItalic" w:cs="DIN-RegularItalic"/>
          <w:i/>
          <w:iCs/>
          <w:color w:val="211D1E"/>
          <w:sz w:val="22"/>
          <w:szCs w:val="22"/>
        </w:rPr>
        <w:t xml:space="preserve">The Effect of the Reward Programme Scheme: The Effect of Timing of Reward, Business Longevity and Involvement on Consumers’ Perception and Behavioural Intention Toward the Reward Programme </w:t>
      </w:r>
      <w:r w:rsidRPr="00385DFC">
        <w:rPr>
          <w:rFonts w:cs="DIN"/>
          <w:color w:val="211D1E"/>
          <w:sz w:val="22"/>
          <w:szCs w:val="22"/>
        </w:rPr>
        <w:t xml:space="preserve">(Saarbrücken: VDM Verlag, 2009). The title is almost </w:t>
      </w:r>
      <w:proofErr w:type="gramStart"/>
      <w:r w:rsidRPr="00385DFC">
        <w:rPr>
          <w:rFonts w:cs="DIN"/>
          <w:color w:val="211D1E"/>
          <w:sz w:val="22"/>
          <w:szCs w:val="22"/>
        </w:rPr>
        <w:t>as long as</w:t>
      </w:r>
      <w:proofErr w:type="gramEnd"/>
      <w:r w:rsidRPr="00385DFC">
        <w:rPr>
          <w:rFonts w:cs="DIN"/>
          <w:color w:val="211D1E"/>
          <w:sz w:val="22"/>
          <w:szCs w:val="22"/>
        </w:rPr>
        <w:t xml:space="preserve"> the book, but it does offer a very deep (and academic) insight into the interrelationship between loyalty programmes, involvement and timing.</w:t>
      </w:r>
    </w:p>
    <w:p w14:paraId="2F811502" w14:textId="77777777" w:rsidR="00B55309" w:rsidRPr="00385DFC" w:rsidRDefault="00B55309" w:rsidP="00B55309">
      <w:pPr>
        <w:pStyle w:val="Pa36"/>
        <w:spacing w:after="100"/>
        <w:ind w:right="160"/>
        <w:jc w:val="both"/>
        <w:rPr>
          <w:rFonts w:cs="DIN"/>
          <w:color w:val="211D1E"/>
          <w:sz w:val="22"/>
          <w:szCs w:val="22"/>
        </w:rPr>
      </w:pPr>
      <w:r w:rsidRPr="00385DFC">
        <w:rPr>
          <w:rFonts w:cs="DIN"/>
          <w:color w:val="211D1E"/>
          <w:sz w:val="22"/>
          <w:szCs w:val="22"/>
        </w:rPr>
        <w:t xml:space="preserve">Many models of consumer behaviour seem to assume that people think about what they are doing when making decisions. Gerd Gigerenzer disagrees – and his book </w:t>
      </w:r>
      <w:r w:rsidRPr="00385DFC">
        <w:rPr>
          <w:rFonts w:ascii="DIN-RegularItalic" w:hAnsi="DIN-RegularItalic" w:cs="DIN-RegularItalic"/>
          <w:i/>
          <w:iCs/>
          <w:color w:val="211D1E"/>
          <w:sz w:val="22"/>
          <w:szCs w:val="22"/>
        </w:rPr>
        <w:t xml:space="preserve">Gut Feelings: Short Cuts to Better Decision Making </w:t>
      </w:r>
      <w:r w:rsidRPr="00385DFC">
        <w:rPr>
          <w:rFonts w:cs="DIN"/>
          <w:color w:val="211D1E"/>
          <w:sz w:val="22"/>
          <w:szCs w:val="22"/>
        </w:rPr>
        <w:t>(Harmondsworth: Penguin, 2008) outlines the idea that we make our best decisions based on gut instinct rather than conscious thought. This is a book for people who enjoy some controversy!</w:t>
      </w:r>
    </w:p>
    <w:p w14:paraId="060FC71F" w14:textId="77777777" w:rsidR="00B55309" w:rsidRPr="00385DFC" w:rsidRDefault="00B55309" w:rsidP="00B55309">
      <w:pPr>
        <w:pStyle w:val="Pa36"/>
        <w:spacing w:after="100"/>
        <w:ind w:right="160"/>
        <w:jc w:val="both"/>
        <w:rPr>
          <w:rFonts w:cs="DIN"/>
          <w:color w:val="211D1E"/>
          <w:sz w:val="22"/>
          <w:szCs w:val="22"/>
        </w:rPr>
      </w:pPr>
      <w:r w:rsidRPr="00385DFC">
        <w:rPr>
          <w:rFonts w:cs="DIN"/>
          <w:color w:val="211D1E"/>
          <w:sz w:val="22"/>
          <w:szCs w:val="22"/>
        </w:rPr>
        <w:t xml:space="preserve">Involvement, and especially involvement in luxury brands, is alive and well and lives in Japan. </w:t>
      </w:r>
      <w:r w:rsidRPr="00385DFC">
        <w:rPr>
          <w:rFonts w:ascii="DIN-RegularItalic" w:hAnsi="DIN-RegularItalic" w:cs="DIN-RegularItalic"/>
          <w:i/>
          <w:iCs/>
          <w:color w:val="211D1E"/>
          <w:sz w:val="22"/>
          <w:szCs w:val="22"/>
        </w:rPr>
        <w:t>The Cult of the Luxury Brand: Inside Asia’s Love Affair with Luxury</w:t>
      </w:r>
      <w:r w:rsidRPr="00385DFC">
        <w:rPr>
          <w:rFonts w:cs="DIN"/>
          <w:color w:val="211D1E"/>
          <w:sz w:val="22"/>
          <w:szCs w:val="22"/>
        </w:rPr>
        <w:t>, by Radha Chadha and Paul Husband (London: Nicholas Brealey International, 2006), tells the whole story of how Asian countries have discovered consumerism – and gone for it in a big way.</w:t>
      </w:r>
    </w:p>
    <w:p w14:paraId="2656AF21" w14:textId="77777777" w:rsidR="00B55309" w:rsidRPr="00385DFC" w:rsidRDefault="00B55309" w:rsidP="00B55309">
      <w:pPr>
        <w:pStyle w:val="Pa36"/>
        <w:spacing w:after="100"/>
        <w:ind w:right="160"/>
        <w:jc w:val="both"/>
        <w:rPr>
          <w:rFonts w:cs="DIN"/>
          <w:color w:val="211D1E"/>
          <w:sz w:val="22"/>
          <w:szCs w:val="22"/>
        </w:rPr>
      </w:pPr>
      <w:r w:rsidRPr="00385DFC">
        <w:rPr>
          <w:rFonts w:cs="DIN"/>
          <w:color w:val="211D1E"/>
          <w:sz w:val="22"/>
          <w:szCs w:val="22"/>
        </w:rPr>
        <w:t xml:space="preserve">An aspect of decision-making which is often ignored is the decision to </w:t>
      </w:r>
      <w:proofErr w:type="gramStart"/>
      <w:r w:rsidRPr="00385DFC">
        <w:rPr>
          <w:rFonts w:cs="DIN"/>
          <w:color w:val="211D1E"/>
          <w:sz w:val="22"/>
          <w:szCs w:val="22"/>
        </w:rPr>
        <w:t>say</w:t>
      </w:r>
      <w:proofErr w:type="gramEnd"/>
      <w:r w:rsidRPr="00385DFC">
        <w:rPr>
          <w:rFonts w:cs="DIN"/>
          <w:color w:val="211D1E"/>
          <w:sz w:val="22"/>
          <w:szCs w:val="22"/>
        </w:rPr>
        <w:t xml:space="preserve"> ‘enough is enough’. John Naish’s book </w:t>
      </w:r>
      <w:r w:rsidRPr="00385DFC">
        <w:rPr>
          <w:rFonts w:ascii="DIN-RegularItalic" w:hAnsi="DIN-RegularItalic" w:cs="DIN-RegularItalic"/>
          <w:i/>
          <w:iCs/>
          <w:color w:val="211D1E"/>
          <w:sz w:val="22"/>
          <w:szCs w:val="22"/>
        </w:rPr>
        <w:t xml:space="preserve">Enough: Breaking Free from the World of Excess </w:t>
      </w:r>
      <w:r w:rsidRPr="00385DFC">
        <w:rPr>
          <w:rFonts w:cs="DIN"/>
          <w:color w:val="211D1E"/>
          <w:sz w:val="22"/>
          <w:szCs w:val="22"/>
        </w:rPr>
        <w:t xml:space="preserve">(London: Hodder Paperbacks, 2009) offers as its main premise the idea that human beings are hard-wired to grab as much as they can of anything they like, when in fact there is a point at which further acquisitions simply become tiresome. </w:t>
      </w:r>
      <w:proofErr w:type="gramStart"/>
      <w:r w:rsidRPr="00385DFC">
        <w:rPr>
          <w:rFonts w:cs="DIN"/>
          <w:color w:val="211D1E"/>
          <w:sz w:val="22"/>
          <w:szCs w:val="22"/>
        </w:rPr>
        <w:t>It’s</w:t>
      </w:r>
      <w:proofErr w:type="gramEnd"/>
      <w:r w:rsidRPr="00385DFC">
        <w:rPr>
          <w:rFonts w:cs="DIN"/>
          <w:color w:val="211D1E"/>
          <w:sz w:val="22"/>
          <w:szCs w:val="22"/>
        </w:rPr>
        <w:t xml:space="preserve"> an interesting read for those who have doubts about the consumerist society in which we live.</w:t>
      </w:r>
    </w:p>
    <w:p w14:paraId="668947AC" w14:textId="77777777" w:rsidR="000C3E0C" w:rsidRPr="00385DFC" w:rsidRDefault="00B55309" w:rsidP="00B55309">
      <w:r w:rsidRPr="00385DFC">
        <w:rPr>
          <w:rFonts w:cs="DIN"/>
          <w:color w:val="211D1E"/>
        </w:rPr>
        <w:t xml:space="preserve">Jonathan Fields’ </w:t>
      </w:r>
      <w:r w:rsidRPr="00385DFC">
        <w:rPr>
          <w:rFonts w:ascii="DIN-RegularItalic" w:hAnsi="DIN-RegularItalic" w:cs="DIN-RegularItalic"/>
          <w:i/>
          <w:iCs/>
          <w:color w:val="211D1E"/>
        </w:rPr>
        <w:t xml:space="preserve">Uncertainty: Turning Fear and Doubt into Fuel for Brilliance </w:t>
      </w:r>
      <w:r w:rsidRPr="00385DFC">
        <w:rPr>
          <w:rFonts w:cs="DIN"/>
          <w:color w:val="211D1E"/>
        </w:rPr>
        <w:t>(New York: Portfolio Hardcover, 2011) is a self-help book. The author talks about ways of reducing the fear that arises from uncertainty – and he certainly experienced the downside of uncertainty, having opened a new business in Manhattan the day before the 9/11 terrorist attacks.</w:t>
      </w:r>
    </w:p>
    <w:sectPr w:rsidR="000C3E0C" w:rsidRPr="0038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09"/>
    <w:rsid w:val="000C3E0C"/>
    <w:rsid w:val="00385DFC"/>
    <w:rsid w:val="004D0448"/>
    <w:rsid w:val="00B5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1727"/>
  <w15:chartTrackingRefBased/>
  <w15:docId w15:val="{1C1605D4-ED17-4089-BB4A-FFEE47C2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309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paragraph" w:customStyle="1" w:styleId="Pa611">
    <w:name w:val="Pa61+1"/>
    <w:basedOn w:val="Default"/>
    <w:next w:val="Default"/>
    <w:uiPriority w:val="99"/>
    <w:rsid w:val="00B55309"/>
    <w:pPr>
      <w:spacing w:line="24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B5530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244E9798AF04986878BA89115A34C" ma:contentTypeVersion="10" ma:contentTypeDescription="Create a new document." ma:contentTypeScope="" ma:versionID="50196f95f1e41f39e56d74505da8317c">
  <xsd:schema xmlns:xsd="http://www.w3.org/2001/XMLSchema" xmlns:xs="http://www.w3.org/2001/XMLSchema" xmlns:p="http://schemas.microsoft.com/office/2006/metadata/properties" xmlns:ns3="7a5968a9-a32b-4788-9345-666c2c296e38" targetNamespace="http://schemas.microsoft.com/office/2006/metadata/properties" ma:root="true" ma:fieldsID="0c04b460bbff4ee1ce53f65631b24cfb" ns3:_="">
    <xsd:import namespace="7a5968a9-a32b-4788-9345-666c2c296e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68a9-a32b-4788-9345-666c2c296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94447-4007-4BF1-B1AB-64CE02AB7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28BDC-C9C5-4F35-9D44-7259EEB4B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2BB1BE-26A8-4445-A2F5-A8755A8BC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968a9-a32b-4788-9345-666c2c296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 Dutta</dc:creator>
  <cp:keywords/>
  <dc:description/>
  <cp:lastModifiedBy>Ankit Verma</cp:lastModifiedBy>
  <cp:revision>3</cp:revision>
  <dcterms:created xsi:type="dcterms:W3CDTF">2020-05-20T06:06:00Z</dcterms:created>
  <dcterms:modified xsi:type="dcterms:W3CDTF">2020-12-04T10:41:00Z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0x010100C81244E9798AF04986878BA89115A34C</vt:lpwstr>
  </property>
</Properties>
</file>